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7AD2" w14:textId="77777777" w:rsidR="00FA05E5" w:rsidRDefault="00E03D72">
      <w:pPr>
        <w:spacing w:after="0" w:line="259" w:lineRule="auto"/>
        <w:ind w:left="75" w:right="13"/>
        <w:jc w:val="center"/>
      </w:pPr>
      <w:r>
        <w:rPr>
          <w:b/>
          <w:sz w:val="26"/>
        </w:rPr>
        <w:t xml:space="preserve">1T766: </w:t>
      </w:r>
      <w:proofErr w:type="gramStart"/>
      <w:r>
        <w:rPr>
          <w:b/>
          <w:sz w:val="26"/>
        </w:rPr>
        <w:t>Genomics :</w:t>
      </w:r>
      <w:proofErr w:type="gramEnd"/>
      <w:r>
        <w:rPr>
          <w:b/>
          <w:sz w:val="26"/>
        </w:rPr>
        <w:t xml:space="preserve"> Concepts, Methods and Applications (GCMA)  </w:t>
      </w:r>
    </w:p>
    <w:p w14:paraId="14658509" w14:textId="77777777" w:rsidR="00FA05E5" w:rsidRPr="00E03D72" w:rsidRDefault="00E03D72">
      <w:pPr>
        <w:spacing w:after="160" w:line="259" w:lineRule="auto"/>
        <w:ind w:left="75"/>
        <w:jc w:val="center"/>
        <w:rPr>
          <w:b/>
        </w:rPr>
      </w:pPr>
      <w:r w:rsidRPr="00E03D72">
        <w:rPr>
          <w:bCs/>
          <w:sz w:val="26"/>
        </w:rPr>
        <w:t>3 Credits</w:t>
      </w:r>
      <w:r w:rsidRPr="00E03D72">
        <w:rPr>
          <w:b/>
        </w:rPr>
        <w:t xml:space="preserve"> </w:t>
      </w:r>
    </w:p>
    <w:p w14:paraId="15AD6D55" w14:textId="1BDE2757" w:rsidR="00FA05E5" w:rsidRDefault="00E03D72">
      <w:pPr>
        <w:spacing w:after="192" w:line="259" w:lineRule="auto"/>
        <w:ind w:left="-5"/>
        <w:jc w:val="left"/>
      </w:pPr>
      <w:r>
        <w:rPr>
          <w:b/>
        </w:rPr>
        <w:t>Examination: Mid-S</w:t>
      </w:r>
      <w:r>
        <w:rPr>
          <w:b/>
        </w:rPr>
        <w:t xml:space="preserve">em (10 assignments + 40) &amp; Final (10 assignments+ 40) </w:t>
      </w:r>
    </w:p>
    <w:p w14:paraId="39481F29" w14:textId="77777777" w:rsidR="00FA05E5" w:rsidRDefault="00E03D72">
      <w:pPr>
        <w:spacing w:after="28"/>
      </w:pPr>
      <w:r>
        <w:rPr>
          <w:b/>
        </w:rPr>
        <w:t>Pre</w:t>
      </w:r>
      <w:r>
        <w:rPr>
          <w:b/>
          <w:sz w:val="6"/>
        </w:rPr>
        <w:t>-</w:t>
      </w:r>
      <w:r>
        <w:rPr>
          <w:b/>
        </w:rPr>
        <w:t xml:space="preserve">requisites: </w:t>
      </w:r>
      <w:r>
        <w:t>Must complete the 1st semester and at least credited the course on "Computational Biology &amp; Bioinformatics". Must have basic knowledge of Molecular Biology and Recombinant DNA Technology.</w:t>
      </w:r>
      <w:r>
        <w:rPr>
          <w:b/>
        </w:rPr>
        <w:t xml:space="preserve"> </w:t>
      </w:r>
    </w:p>
    <w:p w14:paraId="1EE03419" w14:textId="43C05304" w:rsidR="00FA05E5" w:rsidRDefault="00E03D72">
      <w:pPr>
        <w:spacing w:after="241"/>
      </w:pPr>
      <w:r>
        <w:rPr>
          <w:b/>
        </w:rPr>
        <w:t xml:space="preserve">Objective: </w:t>
      </w:r>
      <w:r>
        <w:t>This course is an integrated presentation of genome orga</w:t>
      </w:r>
      <w:r>
        <w:t>nization, genome sequencing and characterization, comparative genomics, transcriptomics and introductory genomic data analysis. The course objective is to instil</w:t>
      </w:r>
      <w:r>
        <w:t xml:space="preserve"> sufficient knowledge to the students to be conversant in all of the areas of genomics and pro</w:t>
      </w:r>
      <w:r>
        <w:t>vide a knowledge base that enables the student to successfully move on and master advanced topics in genomics. On the whole, the course will enhance the students' overall comprehension of the subject, improve their computational skills and eventually assis</w:t>
      </w:r>
      <w:r>
        <w:t>t in proper planning, execution and analysis of their research work.</w:t>
      </w:r>
      <w:r>
        <w:rPr>
          <w:b/>
        </w:rPr>
        <w:t xml:space="preserve"> </w:t>
      </w:r>
    </w:p>
    <w:p w14:paraId="1A3B7282" w14:textId="77777777" w:rsidR="00FA05E5" w:rsidRDefault="00E03D72">
      <w:pPr>
        <w:spacing w:after="1" w:line="259" w:lineRule="auto"/>
        <w:ind w:left="-5"/>
        <w:jc w:val="left"/>
      </w:pPr>
      <w:r>
        <w:rPr>
          <w:b/>
        </w:rPr>
        <w:t xml:space="preserve">Course content: </w:t>
      </w:r>
    </w:p>
    <w:p w14:paraId="75A4AD61" w14:textId="77777777" w:rsidR="00FA05E5" w:rsidRDefault="00E03D72">
      <w:pPr>
        <w:spacing w:after="230" w:line="259" w:lineRule="auto"/>
        <w:ind w:left="-5"/>
        <w:jc w:val="left"/>
      </w:pPr>
      <w:r>
        <w:rPr>
          <w:b/>
        </w:rPr>
        <w:t xml:space="preserve">Next Generation Sequencing Technologies: </w:t>
      </w:r>
      <w:r>
        <w:t>Methods and applications (4)</w:t>
      </w:r>
      <w:r>
        <w:rPr>
          <w:b/>
        </w:rPr>
        <w:t xml:space="preserve"> </w:t>
      </w:r>
    </w:p>
    <w:p w14:paraId="499C5F5E" w14:textId="443D91FA" w:rsidR="00FA05E5" w:rsidRDefault="00E03D72">
      <w:pPr>
        <w:spacing w:after="242"/>
      </w:pPr>
      <w:r>
        <w:rPr>
          <w:b/>
        </w:rPr>
        <w:t xml:space="preserve">Whole Genome Sequencing and Analysis: </w:t>
      </w:r>
      <w:r>
        <w:t>Concept, methods, assembly (de novo and re</w:t>
      </w:r>
      <w:bookmarkStart w:id="0" w:name="_GoBack"/>
      <w:bookmarkEnd w:id="0"/>
      <w:r>
        <w:t xml:space="preserve">ference </w:t>
      </w:r>
      <w:r>
        <w:t>based), gen</w:t>
      </w:r>
      <w:r>
        <w:t>ome annotation (structural and functional), comparative genomics (10)</w:t>
      </w:r>
      <w:r>
        <w:rPr>
          <w:b/>
        </w:rPr>
        <w:t xml:space="preserve"> </w:t>
      </w:r>
    </w:p>
    <w:p w14:paraId="0F03802E" w14:textId="77777777" w:rsidR="00FA05E5" w:rsidRDefault="00E03D72">
      <w:pPr>
        <w:spacing w:after="242"/>
      </w:pPr>
      <w:r>
        <w:rPr>
          <w:b/>
        </w:rPr>
        <w:t>High</w:t>
      </w:r>
      <w:r>
        <w:rPr>
          <w:b/>
          <w:sz w:val="6"/>
        </w:rPr>
        <w:t>-</w:t>
      </w:r>
      <w:r>
        <w:rPr>
          <w:b/>
        </w:rPr>
        <w:t xml:space="preserve">throughput Transcriptome Profiling: </w:t>
      </w:r>
      <w:r>
        <w:t>Concept, methods and applications; transcriptome construction (de novo and reference-based), differential gene expression (10)</w:t>
      </w:r>
      <w:r>
        <w:rPr>
          <w:b/>
        </w:rPr>
        <w:t xml:space="preserve"> </w:t>
      </w:r>
    </w:p>
    <w:p w14:paraId="14590ED3" w14:textId="77777777" w:rsidR="00FA05E5" w:rsidRDefault="00E03D72">
      <w:pPr>
        <w:spacing w:after="241"/>
      </w:pPr>
      <w:r>
        <w:rPr>
          <w:b/>
        </w:rPr>
        <w:t>Non</w:t>
      </w:r>
      <w:r>
        <w:rPr>
          <w:b/>
          <w:sz w:val="6"/>
        </w:rPr>
        <w:t>-</w:t>
      </w:r>
      <w:r>
        <w:rPr>
          <w:b/>
        </w:rPr>
        <w:t>coding RNAs:</w:t>
      </w:r>
      <w:r>
        <w:rPr>
          <w:b/>
        </w:rPr>
        <w:t xml:space="preserve"> </w:t>
      </w:r>
      <w:r>
        <w:t>Small RNAs, miRNAs, long non-coding RNAs; sequencing and prediction methods; biological relevance (10)</w:t>
      </w:r>
      <w:r>
        <w:rPr>
          <w:b/>
        </w:rPr>
        <w:t xml:space="preserve"> </w:t>
      </w:r>
    </w:p>
    <w:p w14:paraId="379A6B47" w14:textId="77777777" w:rsidR="00FA05E5" w:rsidRDefault="00E03D72">
      <w:pPr>
        <w:spacing w:after="170"/>
      </w:pPr>
      <w:r>
        <w:rPr>
          <w:b/>
        </w:rPr>
        <w:t xml:space="preserve">Single nucleotide polymorphisms: </w:t>
      </w:r>
      <w:r>
        <w:t>Genome resequencing; data processing and SNP prediction; applications in agriculture/human health (6)</w:t>
      </w:r>
      <w:r>
        <w:rPr>
          <w:b/>
        </w:rPr>
        <w:t xml:space="preserve"> </w:t>
      </w:r>
    </w:p>
    <w:p w14:paraId="3A12463B" w14:textId="77777777" w:rsidR="00FA05E5" w:rsidRDefault="00E03D72">
      <w:pPr>
        <w:spacing w:after="1" w:line="259" w:lineRule="auto"/>
        <w:ind w:left="-5"/>
        <w:jc w:val="left"/>
      </w:pPr>
      <w:r>
        <w:rPr>
          <w:b/>
        </w:rPr>
        <w:t>Suggested readi</w:t>
      </w:r>
      <w:r>
        <w:rPr>
          <w:b/>
        </w:rPr>
        <w:t xml:space="preserve">ngs: </w:t>
      </w:r>
    </w:p>
    <w:p w14:paraId="6A1D0B31" w14:textId="77777777" w:rsidR="00FA05E5" w:rsidRDefault="00E03D72">
      <w:pPr>
        <w:ind w:left="427" w:right="1691"/>
      </w:pPr>
      <w:r>
        <w:t>1.</w:t>
      </w:r>
      <w:r>
        <w:rPr>
          <w:rFonts w:ascii="Arial" w:eastAsia="Arial" w:hAnsi="Arial" w:cs="Arial"/>
        </w:rPr>
        <w:t xml:space="preserve"> </w:t>
      </w:r>
      <w:r>
        <w:t>Review and research articles in national and international journals 2.</w:t>
      </w:r>
      <w:r>
        <w:rPr>
          <w:rFonts w:ascii="Arial" w:eastAsia="Arial" w:hAnsi="Arial" w:cs="Arial"/>
        </w:rPr>
        <w:t xml:space="preserve"> </w:t>
      </w:r>
      <w:r>
        <w:t xml:space="preserve">Online webpages/videos of various databases and sequencing platforms. </w:t>
      </w:r>
    </w:p>
    <w:p w14:paraId="774334C2" w14:textId="77777777" w:rsidR="00FA05E5" w:rsidRDefault="00E03D72">
      <w:pPr>
        <w:numPr>
          <w:ilvl w:val="0"/>
          <w:numId w:val="1"/>
        </w:numPr>
        <w:ind w:hanging="288"/>
      </w:pPr>
      <w:r>
        <w:t xml:space="preserve">Principles of genome analysis and genomics - Sandy B. Primrose, Richard M. Twyman </w:t>
      </w:r>
    </w:p>
    <w:p w14:paraId="684BEE23" w14:textId="77777777" w:rsidR="00FA05E5" w:rsidRDefault="00E03D72">
      <w:pPr>
        <w:numPr>
          <w:ilvl w:val="0"/>
          <w:numId w:val="1"/>
        </w:numPr>
        <w:ind w:hanging="288"/>
      </w:pPr>
      <w:r>
        <w:t>Introduction to Bioinf</w:t>
      </w:r>
      <w:r>
        <w:t xml:space="preserve">ormatics: A theoretical and practical approach - Stephen A. </w:t>
      </w:r>
      <w:proofErr w:type="spellStart"/>
      <w:r>
        <w:t>Krawetz</w:t>
      </w:r>
      <w:proofErr w:type="spellEnd"/>
      <w:r>
        <w:t xml:space="preserve">, David D. </w:t>
      </w:r>
      <w:proofErr w:type="spellStart"/>
      <w:r>
        <w:t>Wonmble</w:t>
      </w:r>
      <w:proofErr w:type="spellEnd"/>
      <w:r>
        <w:t xml:space="preserve"> </w:t>
      </w:r>
    </w:p>
    <w:p w14:paraId="43FB91B3" w14:textId="77777777" w:rsidR="00FA05E5" w:rsidRDefault="00E03D72">
      <w:pPr>
        <w:numPr>
          <w:ilvl w:val="0"/>
          <w:numId w:val="1"/>
        </w:numPr>
        <w:ind w:hanging="288"/>
      </w:pPr>
      <w:r>
        <w:t xml:space="preserve">Fundamentals of data mining in genomics and proteomics - Werner </w:t>
      </w:r>
      <w:proofErr w:type="spellStart"/>
      <w:r>
        <w:t>Dubitzky</w:t>
      </w:r>
      <w:proofErr w:type="spellEnd"/>
      <w:r>
        <w:t xml:space="preserve">, Martin Granzow, Daniel </w:t>
      </w:r>
      <w:proofErr w:type="spellStart"/>
      <w:r>
        <w:t>Berrar</w:t>
      </w:r>
      <w:proofErr w:type="spellEnd"/>
      <w:r>
        <w:t xml:space="preserve"> </w:t>
      </w:r>
    </w:p>
    <w:p w14:paraId="251169D4" w14:textId="77777777" w:rsidR="00FA05E5" w:rsidRDefault="00E03D72">
      <w:pPr>
        <w:numPr>
          <w:ilvl w:val="0"/>
          <w:numId w:val="1"/>
        </w:numPr>
        <w:ind w:hanging="288"/>
      </w:pPr>
      <w:r>
        <w:t xml:space="preserve">A primer of genome science - Greg Gibson, Spencer V. Muse </w:t>
      </w:r>
    </w:p>
    <w:p w14:paraId="2815AFC7" w14:textId="77777777" w:rsidR="00FA05E5" w:rsidRDefault="00E03D72">
      <w:pPr>
        <w:numPr>
          <w:ilvl w:val="0"/>
          <w:numId w:val="1"/>
        </w:numPr>
        <w:ind w:hanging="288"/>
      </w:pPr>
      <w:proofErr w:type="spellStart"/>
      <w:r>
        <w:t>Metzker</w:t>
      </w:r>
      <w:proofErr w:type="spellEnd"/>
      <w:r>
        <w:t xml:space="preserve"> ML (2010) Sequencing Technologies—The Next Generation. Nature Reviews Genetics 11: 31 PMID: 19997069 </w:t>
      </w:r>
    </w:p>
    <w:p w14:paraId="63051CE3" w14:textId="77777777" w:rsidR="00FA05E5" w:rsidRDefault="00E03D72">
      <w:pPr>
        <w:numPr>
          <w:ilvl w:val="0"/>
          <w:numId w:val="1"/>
        </w:numPr>
        <w:ind w:hanging="288"/>
      </w:pPr>
      <w:proofErr w:type="spellStart"/>
      <w:r>
        <w:t>Mardis</w:t>
      </w:r>
      <w:proofErr w:type="spellEnd"/>
      <w:r>
        <w:t xml:space="preserve"> ER. (2008) Next-generation DNA sequencing methods. </w:t>
      </w:r>
      <w:proofErr w:type="spellStart"/>
      <w:r>
        <w:t>Annu</w:t>
      </w:r>
      <w:proofErr w:type="spellEnd"/>
      <w:r>
        <w:t xml:space="preserve"> Rev Genomics Hum Genet. </w:t>
      </w:r>
      <w:proofErr w:type="gramStart"/>
      <w:r>
        <w:t>2008;9:387</w:t>
      </w:r>
      <w:proofErr w:type="gramEnd"/>
      <w:r>
        <w:t xml:space="preserve">-402. </w:t>
      </w:r>
    </w:p>
    <w:sectPr w:rsidR="00FA05E5">
      <w:pgSz w:w="11918" w:h="16853"/>
      <w:pgMar w:top="1440" w:right="1357"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4A71"/>
    <w:multiLevelType w:val="hybridMultilevel"/>
    <w:tmpl w:val="46545454"/>
    <w:lvl w:ilvl="0" w:tplc="8C681C46">
      <w:start w:val="3"/>
      <w:numFmt w:val="decimal"/>
      <w:lvlText w:val="%1."/>
      <w:lvlJc w:val="left"/>
      <w:pPr>
        <w:ind w:left="705"/>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1" w:tplc="322E9B24">
      <w:start w:val="1"/>
      <w:numFmt w:val="lowerLetter"/>
      <w:lvlText w:val="%2"/>
      <w:lvlJc w:val="left"/>
      <w:pPr>
        <w:ind w:left="151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2" w:tplc="4968AEA8">
      <w:start w:val="1"/>
      <w:numFmt w:val="lowerRoman"/>
      <w:lvlText w:val="%3"/>
      <w:lvlJc w:val="left"/>
      <w:pPr>
        <w:ind w:left="223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3" w:tplc="E3A60572">
      <w:start w:val="1"/>
      <w:numFmt w:val="decimal"/>
      <w:lvlText w:val="%4"/>
      <w:lvlJc w:val="left"/>
      <w:pPr>
        <w:ind w:left="295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4" w:tplc="559A70EC">
      <w:start w:val="1"/>
      <w:numFmt w:val="lowerLetter"/>
      <w:lvlText w:val="%5"/>
      <w:lvlJc w:val="left"/>
      <w:pPr>
        <w:ind w:left="367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5" w:tplc="9F5E5966">
      <w:start w:val="1"/>
      <w:numFmt w:val="lowerRoman"/>
      <w:lvlText w:val="%6"/>
      <w:lvlJc w:val="left"/>
      <w:pPr>
        <w:ind w:left="439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6" w:tplc="FF02AA56">
      <w:start w:val="1"/>
      <w:numFmt w:val="decimal"/>
      <w:lvlText w:val="%7"/>
      <w:lvlJc w:val="left"/>
      <w:pPr>
        <w:ind w:left="511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7" w:tplc="0EF4E412">
      <w:start w:val="1"/>
      <w:numFmt w:val="lowerLetter"/>
      <w:lvlText w:val="%8"/>
      <w:lvlJc w:val="left"/>
      <w:pPr>
        <w:ind w:left="583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lvl w:ilvl="8" w:tplc="1E4A70F0">
      <w:start w:val="1"/>
      <w:numFmt w:val="lowerRoman"/>
      <w:lvlText w:val="%9"/>
      <w:lvlJc w:val="left"/>
      <w:pPr>
        <w:ind w:left="6552"/>
      </w:pPr>
      <w:rPr>
        <w:rFonts w:ascii="Times New Roman" w:eastAsia="Times New Roman" w:hAnsi="Times New Roman" w:cs="Times New Roman"/>
        <w:b w:val="0"/>
        <w:i w:val="0"/>
        <w:strike w:val="0"/>
        <w:dstrike w:val="0"/>
        <w:color w:val="080C0D"/>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E5"/>
    <w:rsid w:val="00E03D72"/>
    <w:rsid w:val="00FA05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3089"/>
  <w15:docId w15:val="{CABF2F80-2F9E-4FD9-9FAE-78B78619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80C0D"/>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dc:creator>
  <cp:keywords/>
  <cp:lastModifiedBy>Sudhir</cp:lastModifiedBy>
  <cp:revision>2</cp:revision>
  <dcterms:created xsi:type="dcterms:W3CDTF">2021-10-29T07:12:00Z</dcterms:created>
  <dcterms:modified xsi:type="dcterms:W3CDTF">2021-10-29T07:12:00Z</dcterms:modified>
</cp:coreProperties>
</file>